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9"/>
        <w:pBdr/>
        <w:spacing w:line="240" w:lineRule="auto"/>
        <w:ind/>
        <w:contextualSpacing w:val="tru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MINIMÁLNÍ PREVENTIVNÍ PROGRAM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09"/>
        <w:pBdr/>
        <w:spacing w:line="240" w:lineRule="auto"/>
        <w:ind/>
        <w:contextualSpacing w:val="tru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 školní rok 2025 – 2026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09"/>
        <w:pBdr/>
        <w:spacing w:line="240" w:lineRule="auto"/>
        <w:ind/>
        <w:contextualSpacing w:val="tru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Vypracovala: Mgr. </w:t>
      </w:r>
      <w:r>
        <w:rPr>
          <w:rFonts w:ascii="Times New Roman" w:hAnsi="Times New Roman"/>
          <w:sz w:val="24"/>
          <w:szCs w:val="24"/>
        </w:rPr>
        <w:t xml:space="preserve">Jana Svobodová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9"/>
        <w:pBdr/>
        <w:spacing w:line="240" w:lineRule="auto"/>
        <w:ind/>
        <w:contextualSpacing w:val="tru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školní metodik prevence</w:t>
      </w:r>
      <w:r>
        <w:rPr>
          <w:rFonts w:ascii="Times New Roman" w:hAnsi="Times New Roman"/>
          <w:sz w:val="24"/>
          <w:szCs w:val="24"/>
        </w:rPr>
        <w:t xml:space="preserve"> sociálně patologických jevů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9"/>
        <w:pBdr/>
        <w:spacing w:line="240" w:lineRule="auto"/>
        <w:ind/>
        <w:contextualSpacing w:val="tru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9"/>
        <w:pBdr/>
        <w:spacing w:line="240" w:lineRule="auto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Charakteristika školy: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Základní škola je malotřídní venkovská škola pro žáky 1. stupně.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Škola se nachází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v blízkosti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hřiště a školní zahrady.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Ve škole funguje školní družina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. Pedagogický sbor tvoří dvě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učitelky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prvního stupně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vychovatelka ŠD, asistentka pedagoga, školní asistentka, dvě učitelky MŠ.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Škola vzdělává podle Školního vzdělávacího programu „ŠKOLA NÁS BAVÍ“.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Cíl: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Cílem programu je směřovat k ochraně dětí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před sociálně negativními jevy,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 výchově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žá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ků ke zdravému životnímu stylu, k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osobnostní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mu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a sociální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mu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rozvoj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 žáků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a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k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rozvoj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jejich sociálně komunikativních dovedností.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Důraz je kladen na rozvoj pozitivních vz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tahů uvnitř třídních kolektivů a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na řešení konfliktních situací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Obecné dlouhodobé cíle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ytvářet zdravé a bez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pečné klima ve škole založené na partnerství ve vztazích mezi učiteli, žáky, učiteli a žáky, učiteli a rodiči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vést žáky k toleranci, ohleduplnosti a úctě k ostatním lidem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posilovat zdravé sebevědomí žáků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vést žáky ke zdravému životnímu stylu (rozvoj pohybových dovedností, režim dne, vhodné stravovací návyky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zvládání stresových situací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prohlubovat spolupráci s rodiči, udržovat dobré vztahy mezi rodinou a školou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realizovat pravidelné schůzky s rodiči, kde budou informováni o možných rizicích, kterým jsou jejich děti vystaveny a jak jim předcházet (např. kyberšikana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prevence závislosti na virtuálních drogách apod.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poskytnout nabídku volnočasových aktivit (školní družina, kroužky) a informovat o dalších možných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smysluplných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volnočasových aktivitách v blízkém okolí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dlouhodobě motivovat k smysluplnému využití volného času (hra na hudební nástroj, sport)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zajistit průběžné odborné vzdělávání ŠMP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zajistit zapojení učitelů do realizace programu ve svých hodinách, vzájemně se informovat o chování žáků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Konkrétní krátkodobé cíle: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rozšíření povědomí pedagogů v oblasti vzdělávání žáků s poruchami chování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(zejména ADHD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hypoaktivita, autismus, Aspergrův syndrom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),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sestavení stručného seznamu doporučení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vytvoření přátelského klima v jednotlivých třídách, zejména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 1. ročníku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se zaměřit na přátelské, pozitivní a tolerantní vztahy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jak vzájemně mezi žáky, tak mezi žáky a učiteli.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organizování akcí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(popř. účast na akcích)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důrazem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na naplnění těchto krátkodobých a dlouhodobých cílů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(zejména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na rozvoj zdravého životního stylu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žáků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rozvoj pozitivních vztahů ve škole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 mimo školu, na motivaci rodičů k zapojení se do dění ve škole);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zapojení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školy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do programů a projektů souvisejících s touto problematikou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Den otevřených dveří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Týden zdraví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Den Země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Den dětí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Noc s Andersenem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Besedy se spisovateli (popř. sportovci)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Ovoce do škol, Mléko pro evropské školy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Dny zaměřené na svátky a tradice v průběhu roku (Vánoce, masopust, Velikonoce apod.)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3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 následujících sociálně-patologických jevů: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4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 šikany – posilování a rozvoj mezilidských vztahů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posilovat a rozvíjet zdravé vrstevnické vztahy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informovat rodiče a žáky o rizicích souvisejících s kyberšikanou a o prevenci kyberšikany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postupovat dle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Školního programu proti šikanování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(zavedeného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dle Metodického pokynu MŠMT k řešení šikanování ve školách a školských zařízení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účinně a profesionálně postupovat při rozpoznání šikany v souladu s pokyny MŠMT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4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 závislostí na virtuálních drogách (prevence patologického hráčství, závislosti na počítačových hrách, TV)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informovat rodiče a žáky o možnosti zdravotních, sociálních a psychických poškození v důsledku přílišného užívání virtuálních drog (znecitlivění, ztráta reality, snížení sebekontroly, násilí, závislost) 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motivovat rodiče a žáky ke stanovení pravidel pro užívání virtuálních drog (TV, PC, reality show) a posilování těchto pravidel ve třídách v rámci výchovy ke zdravému životnímu stylu (životospráva, režim dne)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neustále motivovat a pomáhat žákům hledat cestu ke smysluplným volnočasovým aktivitám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podporovat počítačové hry a filmy s kladným obsahem (rozvoj vědomostí, pozornosti, postřehu apod.)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4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kriminality a delikvence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upevňovat základní pravidla a hodnoty společenského chování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předkládat vhodný vzor společenského chování, dbát na dodržování zákona a být morální podporou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předkládat a vysvětlovat modelové situace a zasazovat chování ve vztahu k normalitě a společenské normě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(krádeže, násilí, vandalismus,…)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4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 projevů xenofobie a rasismu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upevňovat obecně uznávané hodnoty a postoje společenského života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vyvracet předsudky a pěstovat úctu k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životu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vést k ohleduplnosti, toleranci a úctě k ostatním lidem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podporovat v žácích jejich přirozenou zvídavost a potřebu poznávat nové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4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 záškoláctví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posilovat hodnotu vzdělání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postupovat podle ŠŘ a pokynů MŠMT při řešení neomluvené školní docházky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4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Prevence drogových závislostí, alkoholismu a kouření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informovat žáky o negativních účincích alkoholu, tabákových výrobků a dalších návykových látek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přiměřeně jejich věku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informovat rodiče a žáky také o negativních účincích na žáky při užívání tzv. energetických nápojů a nápojů s obsahem kofeinu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připomínat zásady správné životosprávy a zdravého životního stylu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podporovat smysluplné mimoškolní zájmy a aktivity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motivovat k smysluplnému využití volného času (sport, kroužky,…)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Realizace preventivních aktivit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Školní metodik prevence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koordinuje přípravy a realizace programu. Ředitelka školy má odpovědnost za podporu, vytváření a realizaci programu. Třídní učitelky začleňují preventivní témata do výuky jednotlivých předmětů. Třídní učitelky monitorují riziková chování ve své třídě.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Žáci se setkávají s jednotlivými tématy především v prvouce, přírodovědě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vlastivědě, také českém jazyce v rámci literární výchovy.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1. ročník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Prvouka: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Bezpečná cesta do školy, chování ve vyučování a o přestávce, rodina, mezilidské v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ztahy, zásady slušného chování, osobní bezpečí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základní hygienické návyky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výživa a zdraví, lidské tělo.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2. ročník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Prvouka: Rodina, soužití mezi lidmi, volný čas, režim dne, péče o zdraví, hygiena, zdravá strava, lidské tělo, obezřetné chování, osobní bezpečí, mimořádné situace, pravidla silničního provozu, dopravní značky.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/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3. ročník</w:t>
      </w:r>
      <w:r/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Bezpečná cesta do školy, ž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ivot a funkce rodiny, mezilidské vztahy, pravidla slušného chování, právo a spravedlnost, práva a povinnosti, lidské tělo, životní potřeby, rozdíly mezi mužem a ženou, vývoj jedince, partnerství a rodičovství, péče o zdraví, zdravá výživa, osobní bezpečí.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4. ročník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Přírodověda: Zdraví a jeho ochrana, výživa.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Vlastivěda: Zákony,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právo a spravedlnost, kultura, rodina, soužití a chování lidí.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5. ročník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Přírodověda: Lidské tělo.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Vlastivěda: Rodina, soužití a chování lidí, právo a spravedlnost, kultura.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cs-CZ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center"/>
        <w:rPr>
          <w:rFonts w:ascii="Times New Roman" w:hAnsi="Times New Roman" w:eastAsia="Times New Roman"/>
          <w:sz w:val="36"/>
          <w:szCs w:val="36"/>
          <w:lang w:eastAsia="cs-CZ"/>
        </w:rPr>
      </w:pPr>
      <w:r>
        <w:rPr>
          <w:rFonts w:ascii="Times New Roman" w:hAnsi="Times New Roman" w:eastAsia="Times New Roman"/>
          <w:sz w:val="36"/>
          <w:szCs w:val="36"/>
          <w:lang w:eastAsia="cs-CZ"/>
        </w:rPr>
        <w:t xml:space="preserve">Školní program proti šikanování</w:t>
      </w:r>
      <w:r>
        <w:rPr>
          <w:rFonts w:ascii="Times New Roman" w:hAnsi="Times New Roman" w:eastAsia="Times New Roman"/>
          <w:sz w:val="36"/>
          <w:szCs w:val="36"/>
          <w:lang w:eastAsia="cs-CZ"/>
        </w:rPr>
      </w:r>
      <w:r>
        <w:rPr>
          <w:rFonts w:ascii="Times New Roman" w:hAnsi="Times New Roman" w:eastAsia="Times New Roman"/>
          <w:sz w:val="36"/>
          <w:szCs w:val="36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2025-202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Zmapování situace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Situace bude postupně zmapována v průběhu školníh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 roku.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Motivování pedagogů pro změnu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Všichni pedagogové budou seznámeni se Školním programem proti šikanování.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Společné vzdělávání a supervize všech pedagogů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Školní metodik prevence bude proškolen pro koordinaci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a následně i pro řešení šikany.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Užší realizační tým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Zástupce vedení, výchovný poradce: Mgr. Jana Svobodová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Školní metodik prevence: Mgr. Jana Svobodová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Zástupce třídních učitelek: Mgr. Ivana Kordulová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Zástupce družiny: Michaela Minaříková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Společný postup při řešení šikanování 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Školní metodik prevence společně s výchovným poradcem kvalifikovaně odhadnou stadium a formu šikanování a rozhodnou, zda řešení zvládne škola sama, nebo si povolá odborníka specialistu – z PPP.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Situace, které zvládne škola sama: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7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První pomoc pro obyčejnou počáteční šikanu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7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Celková léčba pro řešení prvních dvou stadií šikanování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 w:left="72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Scénáře, kdy potřebuje škola pomoc zvenku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7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První pomoc pro komplikovanou počáteční šikanu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7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První pomoc pro obyčejnou pokročilou šikanu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7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První pomoc pro komplikovanou pokročilou šikanu (výbuch skupinového násilí, tzv. školní lynčování)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7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Celková léčba pro třetí stadium šikanování s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běžnou i komplikovanou formou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 w:left="720"/>
        <w:rPr>
          <w:rFonts w:ascii="Times New Roman" w:hAnsi="Times New Roman" w:eastAsia="Times New Roman"/>
          <w:i/>
          <w:sz w:val="24"/>
          <w:szCs w:val="24"/>
          <w:lang w:eastAsia="cs-CZ"/>
        </w:rPr>
      </w:pPr>
      <w:r>
        <w:rPr>
          <w:rFonts w:ascii="Times New Roman" w:hAnsi="Times New Roman" w:eastAsia="Times New Roman"/>
          <w:i/>
          <w:sz w:val="24"/>
          <w:szCs w:val="24"/>
          <w:lang w:eastAsia="cs-CZ"/>
        </w:rPr>
        <w:t xml:space="preserve">Klasifikace scénářů pomoci podle cíle léčby, stadia a formy šikanování (Kolář, 2011)</w:t>
      </w:r>
      <w:r>
        <w:rPr>
          <w:rFonts w:ascii="Times New Roman" w:hAnsi="Times New Roman" w:eastAsia="Times New Roman"/>
          <w:i/>
          <w:sz w:val="24"/>
          <w:szCs w:val="24"/>
          <w:lang w:eastAsia="cs-CZ"/>
        </w:rPr>
      </w:r>
      <w:r>
        <w:rPr>
          <w:rFonts w:ascii="Times New Roman" w:hAnsi="Times New Roman" w:eastAsia="Times New Roman"/>
          <w:i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 w:left="72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Scénář pro obyčejnou počáteční šikanu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(Kolář, 2011)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odhad závažnosti onemocnění skupiny a stanovení formy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šikany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rozhovor s informátory a oběťmi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nalezení vhodných svědků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individuální rozhovory se svědky (nepřípustné je společné vyšetřování agresorů a svědků, hrubou chybou je konfrontace oběti s agresory)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ochrana oběti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předběžná diagnóza a volba ze dvou typů rozhovoru: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9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rozhovor s oběťmi a rozhovor s agresory (směřování k metodě usmíření)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9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rozhovor s agresory (směřování k metodě vnějšího nátlaku)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realizace vhodné metody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0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metoda usmíření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0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metoda vnějšího nátlaku (výchovný pohovor nebo výchovná komise s agresorem a jeho rodiči)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třídní hodina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1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efekt metody usmíření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1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oznámení potrestání agresorů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rozhovor s rodiči oběti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třídní schůzka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8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práce s celou třídou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 w:left="72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Základní krizový scénář pro výbuch pokročilé šikany – Poplachový plán pro tzv. školní lynčování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(Kolář, 2011)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2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První (alarmující) kroky pomoci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Zvládnutí vlastního šoku – bleskový odhad závažnosti a formy šikany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Bezprostřední záchrana oběti, zastavení skupinového násilí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2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Příprava podmínek pro vyšetřování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Zalarmování pedagogů a informování vedení školy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Zabránění domluvě na křivé výpovědi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Pokračující pomoc oběti (přivolání lékaře)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Oznámení na policii, paralelně – navázání kontaktu se specialistou na šikanování, informace rodičům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2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Vyšetřování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Rozhovor s obětí a informátory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Nalezení nejslabších článků nespolupracujících svědků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Individuální, případně konfrontační rozhovory se svědky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Rozhovor s agresory, případně konfrontace mezi agresory, není vhodné konfrontovat agresora (agresory) s obětí (oběťmi)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2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Léčba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13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Metoda vnějšího nátlaku a změna konstelace skupiny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¨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 w:left="1080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Nápravná opatření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Výchovná opatření (napomenutí a důtka třídního učitele, důtka ředitele školy)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Snížení známky z chování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Ředitelka doporučí rodičům dobrovolné umístění dítěte do pobytového oddělení střediska výchovné péče, případně doporučí realizovat dobrovolný diagnostický pobyt žáka v diagnostickém ústavu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Ředitelka školy podá návrh orgánu sociálně-právní ochrany dítěte k zahájení práce s rodinou, případně k zahájení řízení o nařízení předběžného opatření či ústavní výchovy s následným umístěním v diagnostickém ústavu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Škola umožní agresorovi individuální výchovný plán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.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Primární prevence ve výuce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(viz MPP)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Primární prevence ve školních i mimoškolních programech mimo vyučování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(viz MPP)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Ochranný režim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Ochranný režim na naší škole se opírá o Školní řád a účinné dohledy učitelů o přestá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vkách na chodbách a v jídelně.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Spolupráce s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 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rodiči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Rodiče jsou na třídních schůzkách seznámeni se Školním řádem, s postupem při udě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lování výchovných opatření a tedy s nekompromisním bojem školy proti šikaně. Zároveň jsou informováni o aktuálních tématech dotýkajících se této problematiky (např. Kyberšikana), jsou jim poskytnuty materiály (letáčky, jak chránit dítě před kyberšikanou).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Je uspořádán Den otevřených dveří.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Školní poradenské služby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Výchovný poradce – Mgr. Jana Svobodová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– konzultační hodiny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– úterý 14.00 – 15.00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                                                              nebo dle osobní dohody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Školní metodik prevence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– Michaela Minaříková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                                            -konzultační hodiny – dle osobní dohody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6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  <w:t xml:space="preserve">Spolupráce se specializovanými zařízeními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Spolupráce s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PPP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–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Pedagogicko-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psychologická poradna Hodonín, pracoviště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Kyjov 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Nádražní 1333/34, 697 01 Kyjov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tel.: 518 615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082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77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Kontaktní osoba: Mgr.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Monika Gasnárková</w:t>
      </w:r>
      <w:r>
        <w:rPr>
          <w:rFonts w:ascii="Times New Roman" w:hAnsi="Times New Roman" w:eastAsia="Times New Roman"/>
          <w:sz w:val="24"/>
          <w:szCs w:val="24"/>
          <w:lang w:eastAsia="cs-CZ"/>
        </w:rPr>
        <w:br/>
      </w:r>
      <w:r>
        <w:rPr>
          <w:rFonts w:ascii="Times New Roman" w:hAnsi="Times New Roman" w:eastAsia="Times New Roman"/>
          <w:i/>
          <w:iCs/>
          <w:sz w:val="24"/>
          <w:szCs w:val="24"/>
          <w:lang w:eastAsia="cs-CZ"/>
        </w:rPr>
        <w:t xml:space="preserve">psychologové -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Mgr. Moni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ka Gasnárková,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Mgr. Kamila Kostýlková</w:t>
        <w:br/>
      </w:r>
      <w:r>
        <w:rPr>
          <w:rFonts w:ascii="Times New Roman" w:hAnsi="Times New Roman" w:eastAsia="Times New Roman"/>
          <w:i/>
          <w:iCs/>
          <w:sz w:val="24"/>
          <w:szCs w:val="24"/>
          <w:lang w:eastAsia="cs-CZ"/>
        </w:rPr>
        <w:t xml:space="preserve">speciální pedagog -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Mgr. 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Monika Gasnárková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77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Spolupráce s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pediatry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MUDr. Pavlína Rybová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třída Komenského 616/16 697 01 Kyjov, 518 612 758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MUDr. Vladimíra Novotná, Mezi Mlaty 726/34 Kyjov, 518 615 327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MUDr. Eva Trávníčková, třída Komenského 616/16 697 01 Kyjov, 518 612 644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before="100" w:beforeAutospacing="1" w:line="24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S</w:t>
      </w: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polupráce s oddělením sociálně-právní ochrany dětí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cs-CZ"/>
        </w:rPr>
      </w:r>
    </w:p>
    <w:p>
      <w:pPr>
        <w:pStyle w:val="1031"/>
        <w:pBdr/>
        <w:spacing w:after="0" w:line="240" w:lineRule="auto"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Odbor sociálních věcí a školství - oddělení sociální péče; oddělení sociálně-právní ochrany dětí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line="240" w:lineRule="auto"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Masarykovo náměstí 30/1</w:t>
        <w:br/>
        <w:t xml:space="preserve">69701 Kyjov 1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line="240" w:lineRule="auto"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Kontaktní osoba: Bc. Pavlína Švidroňová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, 518 697 490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line="240" w:lineRule="auto"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line="240" w:lineRule="auto"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Ředitelka školy oznámí OSPODu skutečnosti, které ohrožují bezpečí a zdraví žáka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Pokud žák spáchá trestný čin (provinění), popř. opakovaně páchá přestupky, ředitel školy zahájí spolupráci s orgány sociálně-právní ochrany dítěte bez zbytečného odkladu.</w:t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pBdr/>
        <w:spacing w:after="0" w:line="240" w:lineRule="auto"/>
        <w:ind w:left="108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31"/>
        <w:numPr>
          <w:ilvl w:val="0"/>
          <w:numId w:val="5"/>
        </w:numPr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cs-CZ"/>
        </w:rPr>
        <w:t xml:space="preserve">Spolupráce s Policií ČR</w:t>
      </w:r>
      <w:r>
        <w:rPr>
          <w:rFonts w:ascii="Times New Roman" w:hAnsi="Times New Roman" w:eastAsia="Times New Roman"/>
          <w:sz w:val="24"/>
          <w:szCs w:val="24"/>
          <w:lang w:eastAsia="cs-CZ"/>
        </w:rPr>
        <w:t xml:space="preserve"> – dojde- li k závažnějšímu případu šikanování nebo při podezření, že šikanování naplnilo skutkovou podstatu trestného činu (provinění), ředitelka školy oznámí tuto skutečnost Policii ČR</w:t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31"/>
        <w:pBdr/>
        <w:spacing/>
        <w:ind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/>
          <w:b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before="100" w:beforeAutospacing="1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Style w:val="1009"/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  <w:r>
        <w:rPr>
          <w:rFonts w:ascii="Times New Roman" w:hAnsi="Times New Roman" w:eastAsia="Times New Roman"/>
          <w:sz w:val="24"/>
          <w:szCs w:val="24"/>
          <w:lang w:eastAsia="cs-CZ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continuous"/>
      <w:pgSz w:h="16840" w:orient="portrait" w:w="11910"/>
      <w:pgMar w:top="1847" w:right="851" w:bottom="567" w:left="851" w:header="288" w:footer="709" w:gutter="0"/>
      <w:cols w:num="1" w:sep="0" w:space="388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MT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pBdr/>
      <w:spacing/>
      <w:ind/>
      <w:rPr>
        <w:color w:val="auto"/>
      </w:rPr>
    </w:pPr>
    <w:r>
      <w:rPr>
        <w:color w:val="auto"/>
      </w:rPr>
    </w:r>
    <w:r>
      <w:rPr>
        <w:color w:val="auto"/>
      </w:rPr>
      <w:t xml:space="preserve">Strana </w:t>
    </w:r>
    <w:r>
      <w:rPr>
        <w:color w:val="auto"/>
      </w:rPr>
      <w:fldChar w:fldCharType="begin"/>
    </w:r>
    <w:r>
      <w:rPr>
        <w:color w:val="auto"/>
      </w:rPr>
      <w:instrText xml:space="preserve">PAGE  \* Arabic  \* MERGEFORMAT</w:instrText>
    </w:r>
    <w:r>
      <w:rPr>
        <w:color w:val="auto"/>
      </w:rPr>
      <w:fldChar w:fldCharType="separate"/>
    </w:r>
    <w:r>
      <w:rPr>
        <w:color w:val="auto"/>
      </w:rPr>
      <w:t xml:space="preserve">1</w:t>
    </w:r>
    <w:r>
      <w:rPr>
        <w:color w:val="auto"/>
      </w:rPr>
      <w:fldChar w:fldCharType="end"/>
    </w:r>
    <w:r>
      <w:rPr>
        <w:color w:val="auto"/>
      </w:rPr>
      <w:t xml:space="preserve"> (celkem </w:t>
    </w:r>
    <w:fldSimple w:instr="NUMPAGES \* MERGEFORMAT">
      <w:r>
        <w:rPr>
          <w:color w:val="auto"/>
        </w:rPr>
        <w:t xml:space="preserve">1</w:t>
      </w:r>
    </w:fldSimple>
    <w:r>
      <w:rPr>
        <w:color w:val="auto"/>
      </w:rPr>
    </w:r>
    <w:r>
      <w:rPr>
        <w:color w:val="auto"/>
      </w:rPr>
      <w:t xml:space="preserve">)</w:t>
    </w:r>
    <w:r>
      <w:rPr>
        <w:color w:val="auto"/>
      </w:rPr>
    </w:r>
    <w:r>
      <w:rPr>
        <w:color w:val="auto"/>
      </w:rPr>
    </w:r>
  </w:p>
  <w:p>
    <w:pPr>
      <w:pStyle w:val="1019"/>
      <w:pBdr/>
      <w:spacing/>
      <w:ind/>
      <w:rPr/>
    </w:pPr>
    <w:r/>
    <w:r/>
  </w:p>
  <w:p>
    <w:pPr>
      <w:pStyle w:val="101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592705" cy="5105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270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19"/>
                            <w:pBdr/>
                            <w:spacing/>
                            <w:ind/>
                            <w:jc w:val="righ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 xml:space="preserve">email: reditel@zsbukovany.cz</w:t>
                          </w:r>
                          <w:r>
                            <w:rPr>
                              <w:color w:val="00b050"/>
                            </w:rPr>
                          </w:r>
                          <w:r>
                            <w:rPr>
                              <w:color w:val="00b050"/>
                            </w:rPr>
                          </w:r>
                        </w:p>
                        <w:p>
                          <w:pPr>
                            <w:pStyle w:val="1019"/>
                            <w:pBdr/>
                            <w:spacing/>
                            <w:ind/>
                            <w:jc w:val="righ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 xml:space="preserve">tel.: 518 618 014</w:t>
                          </w:r>
                          <w:r>
                            <w:rPr>
                              <w:color w:val="00b050"/>
                            </w:rPr>
                          </w:r>
                          <w:r>
                            <w:rPr>
                              <w:color w:val="00b050"/>
                            </w:rPr>
                          </w:r>
                        </w:p>
                        <w:p>
                          <w:pPr>
                            <w:pStyle w:val="1019"/>
                            <w:pBdr/>
                            <w:spacing/>
                            <w:ind/>
                            <w:jc w:val="righ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 xml:space="preserve">IČO 70984042</w:t>
                          </w:r>
                          <w:r>
                            <w:rPr>
                              <w:color w:val="00b050"/>
                            </w:rPr>
                          </w:r>
                          <w:r>
                            <w:rPr>
                              <w:color w:val="00b050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2336;o:allowoverlap:true;o:allowincell:true;mso-position-horizontal-relative:text;mso-position-horizontal:right;mso-position-vertical-relative:text;margin-top:0.00pt;mso-position-vertical:absolute;width:204.15pt;height:40.2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1019"/>
                      <w:pBdr/>
                      <w:spacing/>
                      <w:ind/>
                      <w:jc w:val="righ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 xml:space="preserve">email: reditel@zsbukovany.cz</w:t>
                    </w:r>
                    <w:r>
                      <w:rPr>
                        <w:color w:val="00b050"/>
                      </w:rPr>
                    </w:r>
                    <w:r>
                      <w:rPr>
                        <w:color w:val="00b050"/>
                      </w:rPr>
                    </w:r>
                  </w:p>
                  <w:p>
                    <w:pPr>
                      <w:pStyle w:val="1019"/>
                      <w:pBdr/>
                      <w:spacing/>
                      <w:ind/>
                      <w:jc w:val="righ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 xml:space="preserve">tel.: 518 618 014</w:t>
                    </w:r>
                    <w:r>
                      <w:rPr>
                        <w:color w:val="00b050"/>
                      </w:rPr>
                    </w:r>
                    <w:r>
                      <w:rPr>
                        <w:color w:val="00b050"/>
                      </w:rPr>
                    </w:r>
                  </w:p>
                  <w:p>
                    <w:pPr>
                      <w:pStyle w:val="1019"/>
                      <w:pBdr/>
                      <w:spacing/>
                      <w:ind/>
                      <w:jc w:val="righ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 xml:space="preserve">IČO 70984042</w:t>
                    </w:r>
                    <w:r>
                      <w:rPr>
                        <w:color w:val="00b050"/>
                      </w:rPr>
                    </w:r>
                    <w:r>
                      <w:rPr>
                        <w:color w:val="00b050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644140" cy="52959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19"/>
                            <w:pBdr/>
                            <w:spacing/>
                            <w:ind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 xml:space="preserve">Základní a mateřská škola </w:t>
                          </w:r>
                          <w:r>
                            <w:rPr>
                              <w:color w:val="00b050"/>
                            </w:rPr>
                            <w:t xml:space="preserve">Bukovany</w:t>
                          </w:r>
                          <w:r>
                            <w:rPr>
                              <w:color w:val="00b050"/>
                            </w:rPr>
                          </w:r>
                          <w:r>
                            <w:rPr>
                              <w:color w:val="00b050"/>
                            </w:rPr>
                          </w:r>
                        </w:p>
                        <w:p>
                          <w:pPr>
                            <w:pStyle w:val="1019"/>
                            <w:pBdr/>
                            <w:spacing/>
                            <w:ind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 xml:space="preserve">okres </w:t>
                          </w:r>
                          <w:r>
                            <w:rPr>
                              <w:color w:val="00b050"/>
                            </w:rPr>
                            <w:t xml:space="preserve">Hodonín</w:t>
                          </w:r>
                          <w:r>
                            <w:rPr>
                              <w:color w:val="00b050"/>
                            </w:rPr>
                            <w:t xml:space="preserve">, příspěvková organizace</w:t>
                          </w:r>
                          <w:r>
                            <w:rPr>
                              <w:color w:val="00b050"/>
                            </w:rPr>
                          </w:r>
                          <w:r>
                            <w:rPr>
                              <w:color w:val="00b050"/>
                            </w:rPr>
                          </w:r>
                        </w:p>
                        <w:p>
                          <w:pPr>
                            <w:pStyle w:val="1019"/>
                            <w:pBdr/>
                            <w:spacing/>
                            <w:ind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 xml:space="preserve">Školní 132, 696 31 </w:t>
                          </w:r>
                          <w:r>
                            <w:rPr>
                              <w:color w:val="00b050"/>
                            </w:rPr>
                            <w:t xml:space="preserve">Bukovany</w:t>
                          </w:r>
                          <w:r>
                            <w:rPr>
                              <w:color w:val="00b050"/>
                            </w:rPr>
                          </w:r>
                          <w:r>
                            <w:rPr>
                              <w:color w:val="00b050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so-position-horizontal:left;mso-position-vertical-relative:text;margin-top:0.00pt;mso-position-vertical:absolute;width:208.20pt;height:41.7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1019"/>
                      <w:pBdr/>
                      <w:spacing/>
                      <w:ind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 xml:space="preserve">Základní a mateřská škola </w:t>
                    </w:r>
                    <w:r>
                      <w:rPr>
                        <w:color w:val="00b050"/>
                      </w:rPr>
                      <w:t xml:space="preserve">Bukovany</w:t>
                    </w:r>
                    <w:r>
                      <w:rPr>
                        <w:color w:val="00b050"/>
                      </w:rPr>
                    </w:r>
                    <w:r>
                      <w:rPr>
                        <w:color w:val="00b050"/>
                      </w:rPr>
                    </w:r>
                  </w:p>
                  <w:p>
                    <w:pPr>
                      <w:pStyle w:val="1019"/>
                      <w:pBdr/>
                      <w:spacing/>
                      <w:ind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 xml:space="preserve">okres </w:t>
                    </w:r>
                    <w:r>
                      <w:rPr>
                        <w:color w:val="00b050"/>
                      </w:rPr>
                      <w:t xml:space="preserve">Hodonín</w:t>
                    </w:r>
                    <w:r>
                      <w:rPr>
                        <w:color w:val="00b050"/>
                      </w:rPr>
                      <w:t xml:space="preserve">, příspěvková organizace</w:t>
                    </w:r>
                    <w:r>
                      <w:rPr>
                        <w:color w:val="00b050"/>
                      </w:rPr>
                    </w:r>
                    <w:r>
                      <w:rPr>
                        <w:color w:val="00b050"/>
                      </w:rPr>
                    </w:r>
                  </w:p>
                  <w:p>
                    <w:pPr>
                      <w:pStyle w:val="1019"/>
                      <w:pBdr/>
                      <w:spacing/>
                      <w:ind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 xml:space="preserve">Školní 132, 696 31 </w:t>
                    </w:r>
                    <w:r>
                      <w:rPr>
                        <w:color w:val="00b050"/>
                      </w:rPr>
                      <w:t xml:space="preserve">Bukovany</w:t>
                    </w:r>
                    <w:r>
                      <w:rPr>
                        <w:color w:val="00b050"/>
                      </w:rPr>
                    </w:r>
                    <w:r>
                      <w:rPr>
                        <w:color w:val="00b050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1019"/>
      <w:pBdr/>
      <w:spacing/>
      <w:ind/>
      <w:rPr/>
    </w:pPr>
    <w:r/>
    <w:r/>
  </w:p>
  <w:p>
    <w:pPr>
      <w:pStyle w:val="10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pBdr/>
      <w:spacing/>
      <w:ind/>
      <w:rPr/>
    </w:pPr>
    <w:r>
      <w:rPr>
        <w:lang w:eastAsia="cs-CZ"/>
      </w:rPr>
    </w:r>
    <w:r>
      <w:rPr>
        <w:lang w:eastAsia="cs-CZ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00000" cy="900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22019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00000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0.87pt;height:70.87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cs-CZ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firstLine="0" w:left="0"/>
      </w:pPr>
      <w:pStyle w:val="1026"/>
      <w:rPr>
        <w:rFonts w:hint="default"/>
        <w:b/>
        <w:i w:val="0"/>
      </w:rPr>
      <w:start w:val="1"/>
      <w:suff w:val="space"/>
    </w:lvl>
    <w:lvl w:ilvl="1">
      <w:isLgl w:val="false"/>
      <w:lvlJc w:val="left"/>
      <w:lvlText w:val="o"/>
      <w:numFmt w:val="none"/>
      <w:pPr>
        <w:pBdr/>
        <w:spacing/>
        <w:ind w:firstLine="0" w:left="0"/>
      </w:pPr>
      <w:pStyle w:val="1027"/>
      <w:rPr>
        <w:rFonts w:hint="default"/>
      </w:rPr>
      <w:start w:val="1"/>
      <w:suff w:val="nothing"/>
    </w:lvl>
    <w:lvl w:ilvl="2">
      <w:isLgl w:val="false"/>
      <w:lvlJc w:val="left"/>
      <w:lvlText w:val="%3."/>
      <w:numFmt w:val="decimal"/>
      <w:pPr>
        <w:pBdr/>
        <w:tabs>
          <w:tab w:val="num" w:leader="none" w:pos="357"/>
        </w:tabs>
        <w:spacing/>
        <w:ind w:hanging="357" w:left="357"/>
      </w:pPr>
      <w:pStyle w:val="1028"/>
      <w:rPr>
        <w:rFonts w:hint="default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tabs>
          <w:tab w:val="num" w:leader="none" w:pos="720"/>
        </w:tabs>
        <w:spacing/>
        <w:ind w:hanging="363" w:left="720"/>
      </w:pPr>
      <w:pStyle w:val="1029"/>
      <w:rPr>
        <w:rFonts w:hint="default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1077"/>
        </w:tabs>
        <w:spacing/>
        <w:ind w:hanging="357" w:left="1077"/>
      </w:pPr>
      <w:pStyle w:val="1030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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upperLetter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8">
    <w:name w:val="Caption Char"/>
    <w:basedOn w:val="999"/>
    <w:link w:val="1019"/>
    <w:uiPriority w:val="99"/>
    <w:pPr>
      <w:pBdr/>
      <w:spacing/>
      <w:ind/>
    </w:pPr>
  </w:style>
  <w:style w:type="paragraph" w:styleId="829">
    <w:name w:val="toc 1"/>
    <w:basedOn w:val="1009"/>
    <w:next w:val="1009"/>
    <w:uiPriority w:val="39"/>
    <w:unhideWhenUsed/>
    <w:pPr>
      <w:pBdr/>
      <w:spacing w:after="57"/>
      <w:ind w:right="0" w:firstLine="0" w:left="0"/>
    </w:pPr>
  </w:style>
  <w:style w:type="paragraph" w:styleId="830">
    <w:name w:val="toc 2"/>
    <w:basedOn w:val="1009"/>
    <w:next w:val="1009"/>
    <w:uiPriority w:val="39"/>
    <w:unhideWhenUsed/>
    <w:pPr>
      <w:pBdr/>
      <w:spacing w:after="57"/>
      <w:ind w:right="0" w:firstLine="0" w:left="283"/>
    </w:pPr>
  </w:style>
  <w:style w:type="paragraph" w:styleId="831">
    <w:name w:val="toc 3"/>
    <w:basedOn w:val="1009"/>
    <w:next w:val="1009"/>
    <w:uiPriority w:val="39"/>
    <w:unhideWhenUsed/>
    <w:pPr>
      <w:pBdr/>
      <w:spacing w:after="57"/>
      <w:ind w:right="0" w:firstLine="0" w:left="567"/>
    </w:pPr>
  </w:style>
  <w:style w:type="paragraph" w:styleId="832">
    <w:name w:val="toc 4"/>
    <w:basedOn w:val="1009"/>
    <w:next w:val="1009"/>
    <w:uiPriority w:val="39"/>
    <w:unhideWhenUsed/>
    <w:pPr>
      <w:pBdr/>
      <w:spacing w:after="57"/>
      <w:ind w:right="0" w:firstLine="0" w:left="850"/>
    </w:pPr>
  </w:style>
  <w:style w:type="paragraph" w:styleId="833">
    <w:name w:val="toc 5"/>
    <w:basedOn w:val="1009"/>
    <w:next w:val="1009"/>
    <w:uiPriority w:val="39"/>
    <w:unhideWhenUsed/>
    <w:pPr>
      <w:pBdr/>
      <w:spacing w:after="57"/>
      <w:ind w:right="0" w:firstLine="0" w:left="1134"/>
    </w:pPr>
  </w:style>
  <w:style w:type="paragraph" w:styleId="834">
    <w:name w:val="toc 6"/>
    <w:basedOn w:val="1009"/>
    <w:next w:val="1009"/>
    <w:uiPriority w:val="39"/>
    <w:unhideWhenUsed/>
    <w:pPr>
      <w:pBdr/>
      <w:spacing w:after="57"/>
      <w:ind w:right="0" w:firstLine="0" w:left="1417"/>
    </w:pPr>
  </w:style>
  <w:style w:type="paragraph" w:styleId="835">
    <w:name w:val="toc 7"/>
    <w:basedOn w:val="1009"/>
    <w:next w:val="1009"/>
    <w:uiPriority w:val="39"/>
    <w:unhideWhenUsed/>
    <w:pPr>
      <w:pBdr/>
      <w:spacing w:after="57"/>
      <w:ind w:right="0" w:firstLine="0" w:left="1701"/>
    </w:pPr>
  </w:style>
  <w:style w:type="paragraph" w:styleId="836">
    <w:name w:val="toc 8"/>
    <w:basedOn w:val="1009"/>
    <w:next w:val="1009"/>
    <w:uiPriority w:val="39"/>
    <w:unhideWhenUsed/>
    <w:pPr>
      <w:pBdr/>
      <w:spacing w:after="57"/>
      <w:ind w:right="0" w:firstLine="0" w:left="1984"/>
    </w:pPr>
  </w:style>
  <w:style w:type="paragraph" w:styleId="837">
    <w:name w:val="toc 9"/>
    <w:basedOn w:val="1009"/>
    <w:next w:val="1009"/>
    <w:uiPriority w:val="39"/>
    <w:unhideWhenUsed/>
    <w:pPr>
      <w:pBdr/>
      <w:spacing w:after="57"/>
      <w:ind w:right="0" w:firstLine="0" w:left="2268"/>
    </w:pPr>
  </w:style>
  <w:style w:type="table" w:styleId="838">
    <w:name w:val="Table Grid"/>
    <w:basedOn w:val="10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Table Grid Light"/>
    <w:basedOn w:val="10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10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10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1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2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3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4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5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6"/>
    <w:basedOn w:val="10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1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2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3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4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5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6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1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2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3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4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5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6"/>
    <w:basedOn w:val="10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1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2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3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4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5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6"/>
    <w:basedOn w:val="10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Heading 2"/>
    <w:basedOn w:val="1009"/>
    <w:next w:val="1009"/>
    <w:link w:val="9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5">
    <w:name w:val="Heading 3"/>
    <w:basedOn w:val="1009"/>
    <w:next w:val="1009"/>
    <w:link w:val="9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6">
    <w:name w:val="Heading 4"/>
    <w:basedOn w:val="1009"/>
    <w:next w:val="1009"/>
    <w:link w:val="9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7">
    <w:name w:val="Heading 5"/>
    <w:basedOn w:val="1009"/>
    <w:next w:val="1009"/>
    <w:link w:val="9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8">
    <w:name w:val="Heading 6"/>
    <w:basedOn w:val="1009"/>
    <w:next w:val="1009"/>
    <w:link w:val="9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9">
    <w:name w:val="Heading 7"/>
    <w:basedOn w:val="1009"/>
    <w:next w:val="1009"/>
    <w:link w:val="9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0">
    <w:name w:val="Heading 8"/>
    <w:basedOn w:val="1009"/>
    <w:next w:val="1009"/>
    <w:link w:val="9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1">
    <w:name w:val="Heading 9"/>
    <w:basedOn w:val="1009"/>
    <w:next w:val="1009"/>
    <w:link w:val="9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2">
    <w:name w:val="Heading 1 Char"/>
    <w:basedOn w:val="1011"/>
    <w:link w:val="10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3">
    <w:name w:val="Heading 2 Char"/>
    <w:basedOn w:val="1011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4">
    <w:name w:val="Heading 3 Char"/>
    <w:basedOn w:val="1011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5">
    <w:name w:val="Heading 4 Char"/>
    <w:basedOn w:val="1011"/>
    <w:link w:val="9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6">
    <w:name w:val="Heading 5 Char"/>
    <w:basedOn w:val="1011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7">
    <w:name w:val="Heading 6 Char"/>
    <w:basedOn w:val="1011"/>
    <w:link w:val="9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8">
    <w:name w:val="Heading 7 Char"/>
    <w:basedOn w:val="1011"/>
    <w:link w:val="9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9">
    <w:name w:val="Heading 8 Char"/>
    <w:basedOn w:val="1011"/>
    <w:link w:val="9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0">
    <w:name w:val="Heading 9 Char"/>
    <w:basedOn w:val="1011"/>
    <w:link w:val="9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1">
    <w:name w:val="Title"/>
    <w:basedOn w:val="1009"/>
    <w:next w:val="1009"/>
    <w:link w:val="9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2">
    <w:name w:val="Title Char"/>
    <w:basedOn w:val="1011"/>
    <w:link w:val="9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3">
    <w:name w:val="Subtitle"/>
    <w:basedOn w:val="1009"/>
    <w:next w:val="1009"/>
    <w:link w:val="9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4">
    <w:name w:val="Subtitle Char"/>
    <w:basedOn w:val="1011"/>
    <w:link w:val="9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5">
    <w:name w:val="Quote"/>
    <w:basedOn w:val="1009"/>
    <w:next w:val="1009"/>
    <w:link w:val="9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6">
    <w:name w:val="Quote Char"/>
    <w:basedOn w:val="1011"/>
    <w:link w:val="9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7">
    <w:name w:val="Intense Emphasis"/>
    <w:basedOn w:val="10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8">
    <w:name w:val="Intense Quote"/>
    <w:basedOn w:val="1009"/>
    <w:next w:val="1009"/>
    <w:link w:val="9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9">
    <w:name w:val="Intense Quote Char"/>
    <w:basedOn w:val="1011"/>
    <w:link w:val="9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0">
    <w:name w:val="Intense Reference"/>
    <w:basedOn w:val="10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1">
    <w:name w:val="No Spacing"/>
    <w:basedOn w:val="1009"/>
    <w:uiPriority w:val="1"/>
    <w:qFormat/>
    <w:pPr>
      <w:pBdr/>
      <w:spacing w:after="0" w:line="240" w:lineRule="auto"/>
      <w:ind/>
    </w:pPr>
  </w:style>
  <w:style w:type="character" w:styleId="992">
    <w:name w:val="Subtle Emphasis"/>
    <w:basedOn w:val="10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3">
    <w:name w:val="Emphasis"/>
    <w:basedOn w:val="1011"/>
    <w:uiPriority w:val="20"/>
    <w:qFormat/>
    <w:pPr>
      <w:pBdr/>
      <w:spacing/>
      <w:ind/>
    </w:pPr>
    <w:rPr>
      <w:i/>
      <w:iCs/>
    </w:rPr>
  </w:style>
  <w:style w:type="character" w:styleId="994">
    <w:name w:val="Strong"/>
    <w:basedOn w:val="1011"/>
    <w:uiPriority w:val="22"/>
    <w:qFormat/>
    <w:pPr>
      <w:pBdr/>
      <w:spacing/>
      <w:ind/>
    </w:pPr>
    <w:rPr>
      <w:b/>
      <w:bCs/>
    </w:rPr>
  </w:style>
  <w:style w:type="character" w:styleId="995">
    <w:name w:val="Subtle Reference"/>
    <w:basedOn w:val="10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6">
    <w:name w:val="Book Title"/>
    <w:basedOn w:val="10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7">
    <w:name w:val="Header Char"/>
    <w:basedOn w:val="1011"/>
    <w:link w:val="1017"/>
    <w:uiPriority w:val="99"/>
    <w:pPr>
      <w:pBdr/>
      <w:spacing/>
      <w:ind/>
    </w:pPr>
  </w:style>
  <w:style w:type="character" w:styleId="998">
    <w:name w:val="Footer Char"/>
    <w:basedOn w:val="1011"/>
    <w:link w:val="1019"/>
    <w:uiPriority w:val="99"/>
    <w:pPr>
      <w:pBdr/>
      <w:spacing/>
      <w:ind/>
    </w:pPr>
  </w:style>
  <w:style w:type="paragraph" w:styleId="999">
    <w:name w:val="Caption"/>
    <w:basedOn w:val="1009"/>
    <w:next w:val="10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0">
    <w:name w:val="footnote text"/>
    <w:basedOn w:val="1009"/>
    <w:link w:val="10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1">
    <w:name w:val="Footnote Text Char"/>
    <w:basedOn w:val="1011"/>
    <w:link w:val="1000"/>
    <w:uiPriority w:val="99"/>
    <w:semiHidden/>
    <w:pPr>
      <w:pBdr/>
      <w:spacing/>
      <w:ind/>
    </w:pPr>
    <w:rPr>
      <w:sz w:val="20"/>
      <w:szCs w:val="20"/>
    </w:rPr>
  </w:style>
  <w:style w:type="character" w:styleId="1002">
    <w:name w:val="footnote reference"/>
    <w:basedOn w:val="1011"/>
    <w:uiPriority w:val="99"/>
    <w:semiHidden/>
    <w:unhideWhenUsed/>
    <w:pPr>
      <w:pBdr/>
      <w:spacing/>
      <w:ind/>
    </w:pPr>
    <w:rPr>
      <w:vertAlign w:val="superscript"/>
    </w:rPr>
  </w:style>
  <w:style w:type="paragraph" w:styleId="1003">
    <w:name w:val="endnote text"/>
    <w:basedOn w:val="1009"/>
    <w:link w:val="10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4">
    <w:name w:val="Endnote Text Char"/>
    <w:basedOn w:val="1011"/>
    <w:link w:val="1003"/>
    <w:uiPriority w:val="99"/>
    <w:semiHidden/>
    <w:pPr>
      <w:pBdr/>
      <w:spacing/>
      <w:ind/>
    </w:pPr>
    <w:rPr>
      <w:sz w:val="20"/>
      <w:szCs w:val="20"/>
    </w:rPr>
  </w:style>
  <w:style w:type="character" w:styleId="1005">
    <w:name w:val="endnote reference"/>
    <w:basedOn w:val="1011"/>
    <w:uiPriority w:val="99"/>
    <w:semiHidden/>
    <w:unhideWhenUsed/>
    <w:pPr>
      <w:pBdr/>
      <w:spacing/>
      <w:ind/>
    </w:pPr>
    <w:rPr>
      <w:vertAlign w:val="superscript"/>
    </w:rPr>
  </w:style>
  <w:style w:type="character" w:styleId="1006">
    <w:name w:val="FollowedHyperlink"/>
    <w:basedOn w:val="10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7">
    <w:name w:val="TOC Heading"/>
    <w:uiPriority w:val="39"/>
    <w:unhideWhenUsed/>
    <w:pPr>
      <w:pBdr/>
      <w:spacing/>
      <w:ind/>
    </w:pPr>
  </w:style>
  <w:style w:type="paragraph" w:styleId="1008">
    <w:name w:val="table of figures"/>
    <w:basedOn w:val="1009"/>
    <w:next w:val="1009"/>
    <w:uiPriority w:val="99"/>
    <w:unhideWhenUsed/>
    <w:pPr>
      <w:pBdr/>
      <w:spacing w:after="0" w:afterAutospacing="0"/>
      <w:ind/>
    </w:pPr>
  </w:style>
  <w:style w:type="paragraph" w:styleId="1009" w:default="1">
    <w:name w:val="Normal"/>
    <w:uiPriority w:val="1"/>
    <w:qFormat/>
    <w:pPr>
      <w:widowControl w:val="true"/>
      <w:pBdr/>
      <w:spacing w:before="120"/>
      <w:ind/>
      <w:jc w:val="both"/>
    </w:pPr>
    <w:rPr>
      <w:rFonts w:ascii="Arial" w:hAnsi="Arial" w:eastAsia="Arial" w:cs="Arial"/>
      <w:lang w:val="cs-CZ"/>
    </w:rPr>
  </w:style>
  <w:style w:type="paragraph" w:styleId="1010">
    <w:name w:val="Heading 1"/>
    <w:basedOn w:val="1009"/>
    <w:next w:val="1009"/>
    <w:link w:val="1025"/>
    <w:uiPriority w:val="9"/>
    <w:qFormat/>
    <w:pPr>
      <w:keepNext w:val="true"/>
      <w:keepLines w:val="true"/>
      <w:pBdr/>
      <w:spacing w:after="120" w:before="240"/>
      <w:ind/>
      <w:jc w:val="left"/>
      <w:outlineLvl w:val="0"/>
    </w:pPr>
    <w:rPr>
      <w:rFonts w:eastAsiaTheme="majorEastAsia"/>
      <w:b/>
      <w:bCs/>
      <w:sz w:val="28"/>
      <w:szCs w:val="28"/>
    </w:rPr>
  </w:style>
  <w:style w:type="character" w:styleId="1011" w:default="1">
    <w:name w:val="Default Paragraph Font"/>
    <w:uiPriority w:val="1"/>
    <w:semiHidden/>
    <w:unhideWhenUsed/>
    <w:pPr>
      <w:pBdr/>
      <w:spacing/>
      <w:ind/>
    </w:pPr>
  </w:style>
  <w:style w:type="table" w:styleId="101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3" w:default="1">
    <w:name w:val="No List"/>
    <w:uiPriority w:val="99"/>
    <w:semiHidden/>
    <w:unhideWhenUsed/>
    <w:pPr>
      <w:pBdr/>
      <w:spacing/>
      <w:ind/>
    </w:pPr>
  </w:style>
  <w:style w:type="table" w:styleId="1014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5">
    <w:name w:val="Body Text"/>
    <w:basedOn w:val="1009"/>
    <w:uiPriority w:val="1"/>
    <w:qFormat/>
    <w:pPr>
      <w:pBdr/>
      <w:spacing/>
      <w:ind/>
    </w:pPr>
    <w:rPr>
      <w:sz w:val="20"/>
      <w:szCs w:val="20"/>
    </w:rPr>
  </w:style>
  <w:style w:type="paragraph" w:styleId="1016">
    <w:name w:val="List Paragraph"/>
    <w:basedOn w:val="1009"/>
    <w:uiPriority w:val="1"/>
    <w:qFormat/>
    <w:pPr>
      <w:pBdr/>
      <w:spacing/>
      <w:ind/>
    </w:pPr>
  </w:style>
  <w:style w:type="paragraph" w:styleId="1017">
    <w:name w:val="Header"/>
    <w:basedOn w:val="1009"/>
    <w:link w:val="1018"/>
    <w:uiPriority w:val="99"/>
    <w:unhideWhenUsed/>
    <w:pPr>
      <w:pBdr/>
      <w:tabs>
        <w:tab w:val="center" w:leader="none" w:pos="4536"/>
        <w:tab w:val="right" w:leader="none" w:pos="9072"/>
      </w:tabs>
      <w:spacing w:before="0"/>
      <w:ind/>
      <w:jc w:val="center"/>
    </w:pPr>
    <w:rPr>
      <w:sz w:val="16"/>
      <w:szCs w:val="16"/>
    </w:rPr>
  </w:style>
  <w:style w:type="character" w:styleId="1018" w:customStyle="1">
    <w:name w:val="Záhlaví Char"/>
    <w:basedOn w:val="1011"/>
    <w:link w:val="1017"/>
    <w:uiPriority w:val="99"/>
    <w:pPr>
      <w:pBdr/>
      <w:spacing/>
      <w:ind/>
    </w:pPr>
    <w:rPr>
      <w:rFonts w:ascii="Arial" w:hAnsi="Arial" w:eastAsia="Arial" w:cs="Arial"/>
      <w:sz w:val="16"/>
      <w:szCs w:val="16"/>
      <w:lang w:val="sk-SK"/>
    </w:rPr>
  </w:style>
  <w:style w:type="paragraph" w:styleId="1019">
    <w:name w:val="Footer"/>
    <w:basedOn w:val="1009"/>
    <w:link w:val="1020"/>
    <w:uiPriority w:val="99"/>
    <w:unhideWhenUsed/>
    <w:pPr>
      <w:pBdr/>
      <w:spacing w:before="0"/>
      <w:ind/>
    </w:pPr>
    <w:rPr>
      <w:rFonts w:ascii="ArialMT" w:hAnsi="ArialMT" w:cs="ArialMT" w:eastAsiaTheme="minorHAnsi"/>
      <w:color w:val="0099ff"/>
      <w:sz w:val="20"/>
      <w:szCs w:val="20"/>
    </w:rPr>
  </w:style>
  <w:style w:type="character" w:styleId="1020" w:customStyle="1">
    <w:name w:val="Zápatí Char"/>
    <w:basedOn w:val="1011"/>
    <w:link w:val="1019"/>
    <w:uiPriority w:val="99"/>
    <w:pPr>
      <w:pBdr/>
      <w:spacing/>
      <w:ind/>
    </w:pPr>
    <w:rPr>
      <w:rFonts w:ascii="ArialMT" w:hAnsi="ArialMT" w:cs="ArialMT"/>
      <w:color w:val="0099ff"/>
      <w:sz w:val="20"/>
      <w:szCs w:val="20"/>
      <w:lang w:val="cs-CZ"/>
    </w:rPr>
  </w:style>
  <w:style w:type="paragraph" w:styleId="1021">
    <w:name w:val="Balloon Text"/>
    <w:basedOn w:val="1009"/>
    <w:link w:val="102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2" w:customStyle="1">
    <w:name w:val="Text bubliny Char"/>
    <w:basedOn w:val="1011"/>
    <w:link w:val="1021"/>
    <w:uiPriority w:val="99"/>
    <w:semiHidden/>
    <w:pPr>
      <w:pBdr/>
      <w:spacing/>
      <w:ind/>
    </w:pPr>
    <w:rPr>
      <w:rFonts w:ascii="Tahoma" w:hAnsi="Tahoma" w:eastAsia="Arial" w:cs="Tahoma"/>
      <w:sz w:val="16"/>
      <w:szCs w:val="16"/>
      <w:lang w:val="sk-SK"/>
    </w:rPr>
  </w:style>
  <w:style w:type="character" w:styleId="1023">
    <w:name w:val="Hyperlink"/>
    <w:basedOn w:val="101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4" w:customStyle="1">
    <w:name w:val="Unresolved Mention"/>
    <w:basedOn w:val="101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25" w:customStyle="1">
    <w:name w:val="Nadpis 1 Char"/>
    <w:basedOn w:val="1011"/>
    <w:link w:val="1010"/>
    <w:uiPriority w:val="9"/>
    <w:pPr>
      <w:pBdr/>
      <w:spacing/>
      <w:ind/>
    </w:pPr>
    <w:rPr>
      <w:rFonts w:ascii="Arial" w:hAnsi="Arial" w:cs="Arial" w:eastAsiaTheme="majorEastAsia"/>
      <w:b/>
      <w:bCs/>
      <w:sz w:val="28"/>
      <w:szCs w:val="28"/>
      <w:lang w:val="cs-CZ"/>
    </w:rPr>
  </w:style>
  <w:style w:type="paragraph" w:styleId="1026" w:customStyle="1">
    <w:name w:val="Smlouva 01 článek"/>
    <w:basedOn w:val="1009"/>
    <w:pPr>
      <w:keepNext w:val="true"/>
      <w:numPr>
        <w:ilvl w:val="0"/>
        <w:numId w:val="1"/>
      </w:numPr>
      <w:pBdr/>
      <w:spacing w:before="720"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1027" w:customStyle="1">
    <w:name w:val="Smlouva 02 nadpis článku"/>
    <w:basedOn w:val="1009"/>
    <w:qFormat/>
    <w:pPr>
      <w:keepNext w:val="true"/>
      <w:numPr>
        <w:ilvl w:val="1"/>
        <w:numId w:val="1"/>
      </w:numPr>
      <w:pBdr/>
      <w:spacing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1028" w:customStyle="1">
    <w:name w:val="Smlouva 03 odstavec"/>
    <w:basedOn w:val="1009"/>
    <w:pPr>
      <w:numPr>
        <w:ilvl w:val="2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1029" w:customStyle="1">
    <w:name w:val="Smlouva 04 písmeno"/>
    <w:basedOn w:val="1009"/>
    <w:pPr>
      <w:numPr>
        <w:ilvl w:val="3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1030" w:customStyle="1">
    <w:name w:val="Smlouva 05 odrážka"/>
    <w:basedOn w:val="1009"/>
    <w:qFormat/>
    <w:pPr>
      <w:numPr>
        <w:ilvl w:val="4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1031" w:customStyle="1">
    <w:name w:val="Odstavec se seznamem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00" w:afterAutospacing="0" w:before="0" w:beforeAutospacing="0" w:line="276" w:lineRule="auto"/>
      <w:ind w:right="0" w:firstLine="0" w:left="720"/>
      <w:contextualSpacing w:val="tru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cs-CZ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revision>27</cp:revision>
  <dcterms:created xsi:type="dcterms:W3CDTF">2024-08-28T07:02:00Z</dcterms:created>
  <dcterms:modified xsi:type="dcterms:W3CDTF">2026-04-14T11:55:34Z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2021-12-09T00:00:00Z</vt:filetime>
  </property>
</Properties>
</file>